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64195" w14:textId="77777777" w:rsidR="0018435A" w:rsidRPr="0018435A" w:rsidRDefault="0018435A" w:rsidP="0018435A">
      <w:pPr>
        <w:rPr>
          <w:b/>
          <w:bCs/>
        </w:rPr>
      </w:pPr>
      <w:r w:rsidRPr="0018435A">
        <w:rPr>
          <w:b/>
          <w:bCs/>
        </w:rPr>
        <w:t>Middle East Conflict: Reading Market Signals About Risk — Transcript</w:t>
      </w:r>
    </w:p>
    <w:p w14:paraId="2B2ECF2A" w14:textId="77777777" w:rsidR="0018435A" w:rsidRPr="0018435A" w:rsidRDefault="0018435A" w:rsidP="0018435A">
      <w:r w:rsidRPr="0018435A">
        <w:t>Good afternoon, everyone, and welcome.</w:t>
      </w:r>
    </w:p>
    <w:p w14:paraId="3DCE5686" w14:textId="77777777" w:rsidR="0018435A" w:rsidRPr="0018435A" w:rsidRDefault="0018435A" w:rsidP="0018435A">
      <w:r w:rsidRPr="0018435A">
        <w:t>I'm Mike Miranda, President of BMO Family Office and Head of Investments for BMO Wealth Management.</w:t>
      </w:r>
    </w:p>
    <w:p w14:paraId="2FDA2B79" w14:textId="77777777" w:rsidR="0018435A" w:rsidRPr="0018435A" w:rsidRDefault="0018435A" w:rsidP="0018435A">
      <w:r w:rsidRPr="0018435A">
        <w:t xml:space="preserve">Thank you for joining us for today's digital event, </w:t>
      </w:r>
      <w:r w:rsidRPr="0018435A">
        <w:rPr>
          <w:i/>
          <w:iCs/>
        </w:rPr>
        <w:t>Middle East Conflict: Reading Market Signals About Risk</w:t>
      </w:r>
      <w:r w:rsidRPr="0018435A">
        <w:t>.</w:t>
      </w:r>
    </w:p>
    <w:p w14:paraId="5FC27DCC" w14:textId="77777777" w:rsidR="0018435A" w:rsidRPr="0018435A" w:rsidRDefault="0018435A" w:rsidP="0018435A">
      <w:r w:rsidRPr="0018435A">
        <w:t xml:space="preserve">This conversation is part of our ongoing effort to help clients and colleagues navigate geopolitical uncertainty and critically to interpret what financial markets are </w:t>
      </w:r>
      <w:proofErr w:type="gramStart"/>
      <w:r w:rsidRPr="0018435A">
        <w:t>actually telling</w:t>
      </w:r>
      <w:proofErr w:type="gramEnd"/>
      <w:r w:rsidRPr="0018435A">
        <w:t xml:space="preserve"> us about risk.</w:t>
      </w:r>
    </w:p>
    <w:p w14:paraId="4360E7D5" w14:textId="77777777" w:rsidR="0018435A" w:rsidRPr="0018435A" w:rsidRDefault="0018435A" w:rsidP="0018435A">
      <w:r w:rsidRPr="0018435A">
        <w:t xml:space="preserve">To set the stage, this conflict has had a clear impact on oil prices, which </w:t>
      </w:r>
      <w:proofErr w:type="gramStart"/>
      <w:r w:rsidRPr="0018435A">
        <w:t>have</w:t>
      </w:r>
      <w:proofErr w:type="gramEnd"/>
      <w:r w:rsidRPr="0018435A">
        <w:t xml:space="preserve"> experienced significant volatility as markets repeatedly reassess the risk of physical supply disruptions.</w:t>
      </w:r>
    </w:p>
    <w:p w14:paraId="77AA9F5B" w14:textId="77777777" w:rsidR="0018435A" w:rsidRPr="0018435A" w:rsidRDefault="0018435A" w:rsidP="0018435A">
      <w:r w:rsidRPr="0018435A">
        <w:t>Energy has been the most direct and visible transmission channel for geopolitical risk.</w:t>
      </w:r>
    </w:p>
    <w:p w14:paraId="67B0631D" w14:textId="77777777" w:rsidR="0018435A" w:rsidRPr="0018435A" w:rsidRDefault="0018435A" w:rsidP="0018435A">
      <w:r w:rsidRPr="0018435A">
        <w:t xml:space="preserve">At the same time, broader asset markets have remained resilient </w:t>
      </w:r>
      <w:proofErr w:type="gramStart"/>
      <w:r w:rsidRPr="0018435A">
        <w:t>and in several areas</w:t>
      </w:r>
      <w:proofErr w:type="gramEnd"/>
      <w:r w:rsidRPr="0018435A">
        <w:t xml:space="preserve"> have reached new highs.</w:t>
      </w:r>
    </w:p>
    <w:p w14:paraId="74D72F84" w14:textId="77777777" w:rsidR="0018435A" w:rsidRPr="0018435A" w:rsidRDefault="0018435A" w:rsidP="0018435A">
      <w:r w:rsidRPr="0018435A">
        <w:t>That resilience suggests investors are increasingly looking through near-term conflict dynamics and anchoring to fundamentals, including economic momentum and strong investment themes such as AI.</w:t>
      </w:r>
    </w:p>
    <w:p w14:paraId="7E46CEF0" w14:textId="77777777" w:rsidR="0018435A" w:rsidRPr="0018435A" w:rsidRDefault="0018435A" w:rsidP="0018435A">
      <w:r w:rsidRPr="0018435A">
        <w:t>Interest rates have remained relatively contained even as central banks assess how geopolitical developments, particularly through energy, could affect inflation.</w:t>
      </w:r>
    </w:p>
    <w:p w14:paraId="7D7DD448" w14:textId="77777777" w:rsidR="0018435A" w:rsidRPr="0018435A" w:rsidRDefault="0018435A" w:rsidP="0018435A">
      <w:r w:rsidRPr="0018435A">
        <w:t>That tension between heightened headline risk and underlying fundamental strength is exactly what we want to unpack today by reading market signals across asset class.</w:t>
      </w:r>
    </w:p>
    <w:p w14:paraId="5F45BB2D" w14:textId="77777777" w:rsidR="0018435A" w:rsidRPr="0018435A" w:rsidRDefault="0018435A" w:rsidP="0018435A">
      <w:r w:rsidRPr="0018435A">
        <w:t>Joining me today are three BMO experts: Randy Ollenberger, Managing Director, Oil and Gas Research within BMO Capital Markets; Doug Porter, Managing Director and Chief Economist at BMO; and Katherine Krantz, Managing Director, Portfolio Strategy at BMO Capital Markets.</w:t>
      </w:r>
    </w:p>
    <w:p w14:paraId="112A9247" w14:textId="77777777" w:rsidR="0018435A" w:rsidRPr="0018435A" w:rsidRDefault="0018435A" w:rsidP="0018435A">
      <w:r w:rsidRPr="0018435A">
        <w:t>Thank you all for being here.</w:t>
      </w:r>
    </w:p>
    <w:p w14:paraId="293A7AF9" w14:textId="77777777" w:rsidR="0018435A" w:rsidRPr="0018435A" w:rsidRDefault="0018435A" w:rsidP="0018435A">
      <w:r w:rsidRPr="0018435A">
        <w:pict w14:anchorId="20DC2B29">
          <v:rect id="_x0000_i1091" style="width:0;height:1.5pt" o:hralign="center" o:hrstd="t" o:hr="t" fillcolor="#a0a0a0" stroked="f"/>
        </w:pict>
      </w:r>
    </w:p>
    <w:p w14:paraId="438C5961" w14:textId="77777777" w:rsidR="0018435A" w:rsidRPr="0018435A" w:rsidRDefault="0018435A" w:rsidP="0018435A">
      <w:pPr>
        <w:rPr>
          <w:b/>
          <w:bCs/>
        </w:rPr>
      </w:pPr>
      <w:r w:rsidRPr="0018435A">
        <w:rPr>
          <w:b/>
          <w:bCs/>
        </w:rPr>
        <w:t>Discussion</w:t>
      </w:r>
    </w:p>
    <w:p w14:paraId="7A4DBD8B" w14:textId="77777777" w:rsidR="0018435A" w:rsidRPr="0018435A" w:rsidRDefault="0018435A" w:rsidP="0018435A">
      <w:r w:rsidRPr="0018435A">
        <w:rPr>
          <w:b/>
          <w:bCs/>
        </w:rPr>
        <w:t>Mike Miranda:</w:t>
      </w:r>
      <w:r w:rsidRPr="0018435A">
        <w:br/>
        <w:t xml:space="preserve">So Randy, let's start with you first. Can you talk about how the fragile geopolitical situation </w:t>
      </w:r>
      <w:r w:rsidRPr="0018435A">
        <w:lastRenderedPageBreak/>
        <w:t>between the US and Iran continues to affect energy markets, particularly with the Strait of Hormuz remaining tense? And from your perspective, what is next?</w:t>
      </w:r>
    </w:p>
    <w:p w14:paraId="136D7F80" w14:textId="77777777" w:rsidR="0018435A" w:rsidRPr="0018435A" w:rsidRDefault="0018435A" w:rsidP="0018435A">
      <w:r w:rsidRPr="0018435A">
        <w:rPr>
          <w:b/>
          <w:bCs/>
        </w:rPr>
        <w:t>Randy Ollenberger:</w:t>
      </w:r>
      <w:r w:rsidRPr="0018435A">
        <w:br/>
        <w:t xml:space="preserve">Yeah, thanks, Michael. Fragile is the right word. We’ve seen this unfold in a stop-start pattern over the last month. Even if there is some sort of agreement, it will take time to normalize </w:t>
      </w:r>
      <w:proofErr w:type="gramStart"/>
      <w:r w:rsidRPr="0018435A">
        <w:t>flows—</w:t>
      </w:r>
      <w:proofErr w:type="gramEnd"/>
      <w:r w:rsidRPr="0018435A">
        <w:t>likely two to three months, and up to six months to return to pre-conflict production and transport levels.</w:t>
      </w:r>
    </w:p>
    <w:p w14:paraId="6AC10AAB" w14:textId="77777777" w:rsidR="0018435A" w:rsidRPr="0018435A" w:rsidRDefault="0018435A" w:rsidP="0018435A">
      <w:r w:rsidRPr="0018435A">
        <w:t>There are still risks. Negotiations could break down, leading to renewed escalation. Overall, risks remain skewed to the upside, and we expect continued volatility in the months ahead.</w:t>
      </w:r>
    </w:p>
    <w:p w14:paraId="0AC332AB" w14:textId="77777777" w:rsidR="0018435A" w:rsidRPr="0018435A" w:rsidRDefault="0018435A" w:rsidP="0018435A">
      <w:r w:rsidRPr="0018435A">
        <w:pict w14:anchorId="39708D1A">
          <v:rect id="_x0000_i1092" style="width:0;height:1.5pt" o:hralign="center" o:hrstd="t" o:hr="t" fillcolor="#a0a0a0" stroked="f"/>
        </w:pict>
      </w:r>
    </w:p>
    <w:p w14:paraId="7D7B76DA" w14:textId="77777777" w:rsidR="0018435A" w:rsidRPr="0018435A" w:rsidRDefault="0018435A" w:rsidP="0018435A">
      <w:r w:rsidRPr="0018435A">
        <w:rPr>
          <w:b/>
          <w:bCs/>
        </w:rPr>
        <w:t>Mike Miranda:</w:t>
      </w:r>
      <w:r w:rsidRPr="0018435A">
        <w:br/>
        <w:t>Last week the UAE announced it would exit OPEC. What are the broader implications?</w:t>
      </w:r>
    </w:p>
    <w:p w14:paraId="048B73E6" w14:textId="77777777" w:rsidR="0018435A" w:rsidRPr="0018435A" w:rsidRDefault="0018435A" w:rsidP="0018435A">
      <w:r w:rsidRPr="0018435A">
        <w:rPr>
          <w:b/>
          <w:bCs/>
        </w:rPr>
        <w:t>Randy Ollenberger:</w:t>
      </w:r>
      <w:r w:rsidRPr="0018435A">
        <w:br/>
        <w:t>In a normal market, that would have been a negative event. However, given current supply disruptions, it’s less relevant in the near term.</w:t>
      </w:r>
    </w:p>
    <w:p w14:paraId="74E9E4D7" w14:textId="77777777" w:rsidR="0018435A" w:rsidRPr="0018435A" w:rsidRDefault="0018435A" w:rsidP="0018435A">
      <w:r w:rsidRPr="0018435A">
        <w:t xml:space="preserve">Looking ahead, spare capacity will be limited. Countries may also increase strategic stockpiles, which could push demand higher. </w:t>
      </w:r>
      <w:proofErr w:type="gramStart"/>
      <w:r w:rsidRPr="0018435A">
        <w:t>So</w:t>
      </w:r>
      <w:proofErr w:type="gramEnd"/>
      <w:r w:rsidRPr="0018435A">
        <w:t xml:space="preserve"> while it is somewhat negative, it’s less impactful than it would have been previously.</w:t>
      </w:r>
    </w:p>
    <w:p w14:paraId="4BFD0557" w14:textId="77777777" w:rsidR="0018435A" w:rsidRPr="0018435A" w:rsidRDefault="0018435A" w:rsidP="0018435A">
      <w:r w:rsidRPr="0018435A">
        <w:pict w14:anchorId="2DE1E3AE">
          <v:rect id="_x0000_i1093" style="width:0;height:1.5pt" o:hralign="center" o:hrstd="t" o:hr="t" fillcolor="#a0a0a0" stroked="f"/>
        </w:pict>
      </w:r>
    </w:p>
    <w:p w14:paraId="44C2B08C" w14:textId="77777777" w:rsidR="0018435A" w:rsidRPr="0018435A" w:rsidRDefault="0018435A" w:rsidP="0018435A">
      <w:r w:rsidRPr="0018435A">
        <w:rPr>
          <w:b/>
          <w:bCs/>
        </w:rPr>
        <w:t>Mike Miranda:</w:t>
      </w:r>
      <w:r w:rsidRPr="0018435A">
        <w:br/>
        <w:t>Doug, let’s bring you in. Where are we relative to the economic scenarios you outlined at the beginning of the conflict?</w:t>
      </w:r>
    </w:p>
    <w:p w14:paraId="7BFBD1CF" w14:textId="77777777" w:rsidR="0018435A" w:rsidRPr="0018435A" w:rsidRDefault="0018435A" w:rsidP="0018435A">
      <w:r w:rsidRPr="0018435A">
        <w:rPr>
          <w:b/>
          <w:bCs/>
        </w:rPr>
        <w:t>Doug Porter:</w:t>
      </w:r>
      <w:r w:rsidRPr="0018435A">
        <w:br/>
        <w:t>We initially laid out four scenarios, and based on supply disruptions, the situation is trending toward the more pessimistic case. However, oil prices have been surprisingly stable.</w:t>
      </w:r>
    </w:p>
    <w:p w14:paraId="06ACE212" w14:textId="77777777" w:rsidR="0018435A" w:rsidRPr="0018435A" w:rsidRDefault="0018435A" w:rsidP="0018435A">
      <w:r w:rsidRPr="0018435A">
        <w:t>Despite significant supply removal, prices have held around $100. This suggests markets believe the disruption will not last indefinitely.</w:t>
      </w:r>
    </w:p>
    <w:p w14:paraId="3169875C" w14:textId="77777777" w:rsidR="0018435A" w:rsidRPr="0018435A" w:rsidRDefault="0018435A" w:rsidP="0018435A">
      <w:r w:rsidRPr="0018435A">
        <w:t>Importantly, we haven’t materially changed our economic forecasts.</w:t>
      </w:r>
    </w:p>
    <w:p w14:paraId="387A9E74" w14:textId="77777777" w:rsidR="0018435A" w:rsidRPr="0018435A" w:rsidRDefault="0018435A" w:rsidP="0018435A">
      <w:r w:rsidRPr="0018435A">
        <w:pict w14:anchorId="4DE85DC1">
          <v:rect id="_x0000_i1094" style="width:0;height:1.5pt" o:hralign="center" o:hrstd="t" o:hr="t" fillcolor="#a0a0a0" stroked="f"/>
        </w:pict>
      </w:r>
    </w:p>
    <w:p w14:paraId="531D8D4C" w14:textId="77777777" w:rsidR="0018435A" w:rsidRPr="0018435A" w:rsidRDefault="0018435A" w:rsidP="0018435A">
      <w:r w:rsidRPr="0018435A">
        <w:rPr>
          <w:b/>
          <w:bCs/>
        </w:rPr>
        <w:t>Mike Miranda:</w:t>
      </w:r>
      <w:r w:rsidRPr="0018435A">
        <w:br/>
        <w:t>How concerned should we be about recession risk?</w:t>
      </w:r>
    </w:p>
    <w:p w14:paraId="2FC28F8D" w14:textId="77777777" w:rsidR="0018435A" w:rsidRPr="0018435A" w:rsidRDefault="0018435A" w:rsidP="0018435A">
      <w:r w:rsidRPr="0018435A">
        <w:rPr>
          <w:b/>
          <w:bCs/>
        </w:rPr>
        <w:lastRenderedPageBreak/>
        <w:t>Doug Porter:</w:t>
      </w:r>
      <w:r w:rsidRPr="0018435A">
        <w:br/>
        <w:t>For the U.S. and Canada, being oil exporters provides some buffer. The impact so far is a short-term negative, but not enough to trigger recession.</w:t>
      </w:r>
    </w:p>
    <w:p w14:paraId="5609E020" w14:textId="77777777" w:rsidR="0018435A" w:rsidRPr="0018435A" w:rsidRDefault="0018435A" w:rsidP="0018435A">
      <w:r w:rsidRPr="0018435A">
        <w:t>We would likely need sustained oil prices around $150 per barrel before seriously considering a global recession scenario.</w:t>
      </w:r>
    </w:p>
    <w:p w14:paraId="53E8058A" w14:textId="77777777" w:rsidR="0018435A" w:rsidRPr="0018435A" w:rsidRDefault="0018435A" w:rsidP="0018435A">
      <w:r w:rsidRPr="0018435A">
        <w:pict w14:anchorId="6661A341">
          <v:rect id="_x0000_i1095" style="width:0;height:1.5pt" o:hralign="center" o:hrstd="t" o:hr="t" fillcolor="#a0a0a0" stroked="f"/>
        </w:pict>
      </w:r>
    </w:p>
    <w:p w14:paraId="072957C7" w14:textId="77777777" w:rsidR="0018435A" w:rsidRPr="0018435A" w:rsidRDefault="0018435A" w:rsidP="0018435A">
      <w:r w:rsidRPr="0018435A">
        <w:rPr>
          <w:b/>
          <w:bCs/>
        </w:rPr>
        <w:t>Mike Miranda:</w:t>
      </w:r>
      <w:r w:rsidRPr="0018435A">
        <w:br/>
        <w:t>Katherine, let’s bring you in. What about risks to infrastructure like subsea cables?</w:t>
      </w:r>
    </w:p>
    <w:p w14:paraId="58191C32" w14:textId="77777777" w:rsidR="0018435A" w:rsidRPr="0018435A" w:rsidRDefault="0018435A" w:rsidP="0018435A">
      <w:r w:rsidRPr="0018435A">
        <w:rPr>
          <w:b/>
          <w:bCs/>
        </w:rPr>
        <w:t>Katherine Krantz:</w:t>
      </w:r>
      <w:r w:rsidRPr="0018435A">
        <w:br/>
        <w:t>Subsea cables carry about 90% of global internet and data traffic. Any disruption would have major implications for financial systems and communications.</w:t>
      </w:r>
    </w:p>
    <w:p w14:paraId="565B9F20" w14:textId="77777777" w:rsidR="0018435A" w:rsidRPr="0018435A" w:rsidRDefault="0018435A" w:rsidP="0018435A">
      <w:r w:rsidRPr="0018435A">
        <w:t>That said, investors can’t position for every risk. The key is diversification and maintaining a balanced portfolio.</w:t>
      </w:r>
    </w:p>
    <w:p w14:paraId="13F47D39" w14:textId="77777777" w:rsidR="0018435A" w:rsidRPr="0018435A" w:rsidRDefault="0018435A" w:rsidP="0018435A">
      <w:r w:rsidRPr="0018435A">
        <w:pict w14:anchorId="4AC0F544">
          <v:rect id="_x0000_i1096" style="width:0;height:1.5pt" o:hralign="center" o:hrstd="t" o:hr="t" fillcolor="#a0a0a0" stroked="f"/>
        </w:pict>
      </w:r>
    </w:p>
    <w:p w14:paraId="2574AB15" w14:textId="77777777" w:rsidR="0018435A" w:rsidRPr="0018435A" w:rsidRDefault="0018435A" w:rsidP="0018435A">
      <w:r w:rsidRPr="0018435A">
        <w:rPr>
          <w:b/>
          <w:bCs/>
        </w:rPr>
        <w:t>Mike Miranda:</w:t>
      </w:r>
      <w:r w:rsidRPr="0018435A">
        <w:br/>
        <w:t>Doug, can you talk about implications for rates, inflation, and FX?</w:t>
      </w:r>
    </w:p>
    <w:p w14:paraId="07D40106" w14:textId="77777777" w:rsidR="0018435A" w:rsidRPr="0018435A" w:rsidRDefault="0018435A" w:rsidP="0018435A">
      <w:r w:rsidRPr="0018435A">
        <w:rPr>
          <w:b/>
          <w:bCs/>
        </w:rPr>
        <w:t>Doug Porter:</w:t>
      </w:r>
      <w:r w:rsidRPr="0018435A">
        <w:br/>
        <w:t xml:space="preserve">The U.S. dollar has strengthened </w:t>
      </w:r>
      <w:proofErr w:type="gramStart"/>
      <w:r w:rsidRPr="0018435A">
        <w:t>slightly, but</w:t>
      </w:r>
      <w:proofErr w:type="gramEnd"/>
      <w:r w:rsidRPr="0018435A">
        <w:t xml:space="preserve"> not dramatically compared to past crises.</w:t>
      </w:r>
    </w:p>
    <w:p w14:paraId="6B380617" w14:textId="77777777" w:rsidR="0018435A" w:rsidRPr="0018435A" w:rsidRDefault="0018435A" w:rsidP="0018435A">
      <w:r w:rsidRPr="0018435A">
        <w:t>On rates, central banks are cautious. Markets expect some inflation pressure due to higher oil prices, but it hasn’t translated into extreme moves in yields.</w:t>
      </w:r>
    </w:p>
    <w:p w14:paraId="5F4E820F" w14:textId="77777777" w:rsidR="0018435A" w:rsidRPr="0018435A" w:rsidRDefault="0018435A" w:rsidP="0018435A">
      <w:r w:rsidRPr="0018435A">
        <w:t xml:space="preserve">Inflation impacts have been </w:t>
      </w:r>
      <w:proofErr w:type="gramStart"/>
      <w:r w:rsidRPr="0018435A">
        <w:t>fairly textbook</w:t>
      </w:r>
      <w:proofErr w:type="gramEnd"/>
      <w:r w:rsidRPr="0018435A">
        <w:t>—oil increases are feeding into headline inflation, particularly through gasoline prices.</w:t>
      </w:r>
    </w:p>
    <w:p w14:paraId="61E07441" w14:textId="77777777" w:rsidR="0018435A" w:rsidRPr="0018435A" w:rsidRDefault="0018435A" w:rsidP="0018435A">
      <w:r w:rsidRPr="0018435A">
        <w:pict w14:anchorId="678E06D2">
          <v:rect id="_x0000_i1097" style="width:0;height:1.5pt" o:hralign="center" o:hrstd="t" o:hr="t" fillcolor="#a0a0a0" stroked="f"/>
        </w:pict>
      </w:r>
    </w:p>
    <w:p w14:paraId="7AD8D6A6" w14:textId="77777777" w:rsidR="0018435A" w:rsidRPr="0018435A" w:rsidRDefault="0018435A" w:rsidP="0018435A">
      <w:r w:rsidRPr="0018435A">
        <w:rPr>
          <w:b/>
          <w:bCs/>
        </w:rPr>
        <w:t>Mike Miranda:</w:t>
      </w:r>
      <w:r w:rsidRPr="0018435A">
        <w:br/>
        <w:t>How does this compare to the 1970s oil shock?</w:t>
      </w:r>
    </w:p>
    <w:p w14:paraId="6BAF93DD" w14:textId="77777777" w:rsidR="0018435A" w:rsidRPr="0018435A" w:rsidRDefault="0018435A" w:rsidP="0018435A">
      <w:r w:rsidRPr="0018435A">
        <w:rPr>
          <w:b/>
          <w:bCs/>
        </w:rPr>
        <w:t>Doug Porter:</w:t>
      </w:r>
      <w:r w:rsidRPr="0018435A">
        <w:br/>
        <w:t>The key difference is that today’s economy is far less dependent on oil. The U.S. and Canada are also energy exporters.</w:t>
      </w:r>
    </w:p>
    <w:p w14:paraId="49C88556" w14:textId="77777777" w:rsidR="0018435A" w:rsidRPr="0018435A" w:rsidRDefault="0018435A" w:rsidP="0018435A">
      <w:r w:rsidRPr="0018435A">
        <w:t>While this is significant, it’s not the systemic shock we saw in the 1970s.</w:t>
      </w:r>
    </w:p>
    <w:p w14:paraId="2CB01E6B" w14:textId="77777777" w:rsidR="0018435A" w:rsidRPr="0018435A" w:rsidRDefault="0018435A" w:rsidP="0018435A">
      <w:r w:rsidRPr="0018435A">
        <w:pict w14:anchorId="4EA88D51">
          <v:rect id="_x0000_i1098" style="width:0;height:1.5pt" o:hralign="center" o:hrstd="t" o:hr="t" fillcolor="#a0a0a0" stroked="f"/>
        </w:pict>
      </w:r>
    </w:p>
    <w:p w14:paraId="7B8BB11B" w14:textId="77777777" w:rsidR="0018435A" w:rsidRPr="0018435A" w:rsidRDefault="0018435A" w:rsidP="0018435A">
      <w:r w:rsidRPr="0018435A">
        <w:rPr>
          <w:b/>
          <w:bCs/>
        </w:rPr>
        <w:lastRenderedPageBreak/>
        <w:t>Mike Miranda:</w:t>
      </w:r>
      <w:r w:rsidRPr="0018435A">
        <w:br/>
        <w:t>Katherine, what are your expectations for currencies?</w:t>
      </w:r>
    </w:p>
    <w:p w14:paraId="39164887" w14:textId="77777777" w:rsidR="0018435A" w:rsidRPr="0018435A" w:rsidRDefault="0018435A" w:rsidP="0018435A">
      <w:r w:rsidRPr="0018435A">
        <w:rPr>
          <w:b/>
          <w:bCs/>
        </w:rPr>
        <w:t>Katherine Krantz:</w:t>
      </w:r>
      <w:r w:rsidRPr="0018435A">
        <w:br/>
        <w:t>The dollar response has been relatively muted.</w:t>
      </w:r>
    </w:p>
    <w:p w14:paraId="26E9364A" w14:textId="77777777" w:rsidR="0018435A" w:rsidRPr="0018435A" w:rsidRDefault="0018435A" w:rsidP="0018435A">
      <w:r w:rsidRPr="0018435A">
        <w:t>When risk rises, investors move toward safety, but when conditions stabilize, capital shifts back to growth opportunities. That dynamic remains intact.</w:t>
      </w:r>
    </w:p>
    <w:p w14:paraId="5BD48727" w14:textId="77777777" w:rsidR="0018435A" w:rsidRPr="0018435A" w:rsidRDefault="0018435A" w:rsidP="0018435A">
      <w:r w:rsidRPr="0018435A">
        <w:pict w14:anchorId="33422CE6">
          <v:rect id="_x0000_i1099" style="width:0;height:1.5pt" o:hralign="center" o:hrstd="t" o:hr="t" fillcolor="#a0a0a0" stroked="f"/>
        </w:pict>
      </w:r>
    </w:p>
    <w:p w14:paraId="0351CDF2" w14:textId="77777777" w:rsidR="0018435A" w:rsidRPr="0018435A" w:rsidRDefault="0018435A" w:rsidP="0018435A">
      <w:r w:rsidRPr="0018435A">
        <w:rPr>
          <w:b/>
          <w:bCs/>
        </w:rPr>
        <w:t>Mike Miranda:</w:t>
      </w:r>
      <w:r w:rsidRPr="0018435A">
        <w:br/>
        <w:t>Doug, what about central bank policy?</w:t>
      </w:r>
    </w:p>
    <w:p w14:paraId="74566A2B" w14:textId="77777777" w:rsidR="0018435A" w:rsidRPr="0018435A" w:rsidRDefault="0018435A" w:rsidP="0018435A">
      <w:r w:rsidRPr="0018435A">
        <w:rPr>
          <w:b/>
          <w:bCs/>
        </w:rPr>
        <w:t>Doug Porter:</w:t>
      </w:r>
      <w:r w:rsidRPr="0018435A">
        <w:br/>
        <w:t>We still believe the Bank of Canada is unlikely to raise rates this year, despite market pricing suggesting otherwise.</w:t>
      </w:r>
    </w:p>
    <w:p w14:paraId="3233E8BD" w14:textId="77777777" w:rsidR="0018435A" w:rsidRPr="0018435A" w:rsidRDefault="0018435A" w:rsidP="0018435A">
      <w:r w:rsidRPr="0018435A">
        <w:t>Inflation is moderating, and the broader economic backdrop doesn’t strongly support aggressive tightening.</w:t>
      </w:r>
    </w:p>
    <w:p w14:paraId="0C746179" w14:textId="77777777" w:rsidR="0018435A" w:rsidRPr="0018435A" w:rsidRDefault="0018435A" w:rsidP="0018435A">
      <w:r w:rsidRPr="0018435A">
        <w:t>For the Federal Reserve, there’s no urgency to cut rates given the resilience of the economy.</w:t>
      </w:r>
    </w:p>
    <w:p w14:paraId="67CC0505" w14:textId="77777777" w:rsidR="0018435A" w:rsidRPr="0018435A" w:rsidRDefault="0018435A" w:rsidP="0018435A">
      <w:r w:rsidRPr="0018435A">
        <w:pict w14:anchorId="0CC1508B">
          <v:rect id="_x0000_i1100" style="width:0;height:1.5pt" o:hralign="center" o:hrstd="t" o:hr="t" fillcolor="#a0a0a0" stroked="f"/>
        </w:pict>
      </w:r>
    </w:p>
    <w:p w14:paraId="18E97526" w14:textId="77777777" w:rsidR="0018435A" w:rsidRPr="0018435A" w:rsidRDefault="0018435A" w:rsidP="0018435A">
      <w:r w:rsidRPr="0018435A">
        <w:rPr>
          <w:b/>
          <w:bCs/>
        </w:rPr>
        <w:t>Mike Miranda:</w:t>
      </w:r>
      <w:r w:rsidRPr="0018435A">
        <w:br/>
        <w:t>Randy, how are energy companies responding?</w:t>
      </w:r>
    </w:p>
    <w:p w14:paraId="4F3FEE99" w14:textId="77777777" w:rsidR="0018435A" w:rsidRPr="0018435A" w:rsidRDefault="0018435A" w:rsidP="0018435A">
      <w:r w:rsidRPr="0018435A">
        <w:rPr>
          <w:b/>
          <w:bCs/>
        </w:rPr>
        <w:t>Randy Ollenberger:</w:t>
      </w:r>
      <w:r w:rsidRPr="0018435A">
        <w:br/>
        <w:t>Companies have been cautious about increasing capital spending. While current prices are high, long-term price expectations are more moderate.</w:t>
      </w:r>
    </w:p>
    <w:p w14:paraId="62B13B79" w14:textId="77777777" w:rsidR="0018435A" w:rsidRPr="0018435A" w:rsidRDefault="0018435A" w:rsidP="0018435A">
      <w:r w:rsidRPr="0018435A">
        <w:t>We may see incremental increases in production and investment, particularly in North America, but large-scale changes will take years to materialize.</w:t>
      </w:r>
    </w:p>
    <w:p w14:paraId="44436D45" w14:textId="77777777" w:rsidR="0018435A" w:rsidRPr="0018435A" w:rsidRDefault="0018435A" w:rsidP="0018435A">
      <w:r w:rsidRPr="0018435A">
        <w:pict w14:anchorId="6F3BA7EE">
          <v:rect id="_x0000_i1101" style="width:0;height:1.5pt" o:hralign="center" o:hrstd="t" o:hr="t" fillcolor="#a0a0a0" stroked="f"/>
        </w:pict>
      </w:r>
    </w:p>
    <w:p w14:paraId="69C3C183" w14:textId="77777777" w:rsidR="0018435A" w:rsidRPr="0018435A" w:rsidRDefault="0018435A" w:rsidP="0018435A">
      <w:pPr>
        <w:rPr>
          <w:b/>
          <w:bCs/>
        </w:rPr>
      </w:pPr>
      <w:r w:rsidRPr="0018435A">
        <w:rPr>
          <w:b/>
          <w:bCs/>
        </w:rPr>
        <w:t>Closing</w:t>
      </w:r>
    </w:p>
    <w:p w14:paraId="15E3A971" w14:textId="77777777" w:rsidR="0018435A" w:rsidRPr="0018435A" w:rsidRDefault="0018435A" w:rsidP="0018435A">
      <w:r w:rsidRPr="0018435A">
        <w:rPr>
          <w:b/>
          <w:bCs/>
        </w:rPr>
        <w:t>Mike Miranda:</w:t>
      </w:r>
      <w:r w:rsidRPr="0018435A">
        <w:br/>
        <w:t>Thank you, Randy, Doug, and Katherine, for your insights and for helping us better understand how markets are interpreting geopolitical risk.</w:t>
      </w:r>
    </w:p>
    <w:p w14:paraId="59E80846" w14:textId="77777777" w:rsidR="0018435A" w:rsidRPr="0018435A" w:rsidRDefault="0018435A" w:rsidP="0018435A">
      <w:r w:rsidRPr="0018435A">
        <w:t>Thank you to everyone who joined us today. There will be a podcast and recap articles available on our website.</w:t>
      </w:r>
    </w:p>
    <w:p w14:paraId="3592566C" w14:textId="77777777" w:rsidR="0018435A" w:rsidRPr="0018435A" w:rsidRDefault="0018435A" w:rsidP="0018435A">
      <w:r w:rsidRPr="0018435A">
        <w:lastRenderedPageBreak/>
        <w:t>Please stay tuned for future events as we continue to navigate today’s geopolitical uncertainties.</w:t>
      </w:r>
    </w:p>
    <w:p w14:paraId="4A0A43C7" w14:textId="77777777" w:rsidR="0018435A" w:rsidRPr="0018435A" w:rsidRDefault="0018435A" w:rsidP="0018435A">
      <w:r w:rsidRPr="0018435A">
        <w:t xml:space="preserve">Thank </w:t>
      </w:r>
      <w:proofErr w:type="gramStart"/>
      <w:r w:rsidRPr="0018435A">
        <w:t>you, and</w:t>
      </w:r>
      <w:proofErr w:type="gramEnd"/>
      <w:r w:rsidRPr="0018435A">
        <w:t xml:space="preserve"> have a great rest of your day.</w:t>
      </w:r>
    </w:p>
    <w:p w14:paraId="29D11607" w14:textId="77777777" w:rsidR="00F94498" w:rsidRDefault="00F94498"/>
    <w:sectPr w:rsidR="00F94498" w:rsidSect="000A43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35A"/>
    <w:rsid w:val="000A430C"/>
    <w:rsid w:val="0018435A"/>
    <w:rsid w:val="004A4A98"/>
    <w:rsid w:val="008B29B5"/>
    <w:rsid w:val="008D0BEE"/>
    <w:rsid w:val="00E709B6"/>
    <w:rsid w:val="00F8121B"/>
    <w:rsid w:val="00F94498"/>
    <w:rsid w:val="00F9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B7F01"/>
  <w15:chartTrackingRefBased/>
  <w15:docId w15:val="{E2033B5F-D4AD-4C38-B855-F16761764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43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43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43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43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43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43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43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43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43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43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43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43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43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43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43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43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43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43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43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43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43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43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43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43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43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43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43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43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43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975</Words>
  <Characters>5492</Characters>
  <Application>Microsoft Office Word</Application>
  <DocSecurity>0</DocSecurity>
  <Lines>125</Lines>
  <Paragraphs>52</Paragraphs>
  <ScaleCrop>false</ScaleCrop>
  <Company/>
  <LinksUpToDate>false</LinksUpToDate>
  <CharactersWithSpaces>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Maria</dc:creator>
  <cp:keywords/>
  <dc:description/>
  <cp:lastModifiedBy>Garcia, Maria</cp:lastModifiedBy>
  <cp:revision>1</cp:revision>
  <dcterms:created xsi:type="dcterms:W3CDTF">2026-05-07T17:35:00Z</dcterms:created>
  <dcterms:modified xsi:type="dcterms:W3CDTF">2026-05-07T17:47:00Z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cf00cb3-7a5d-4674-b157-6d675423df49_Enabled">
    <vt:lpwstr>true</vt:lpwstr>
  </property>
  <property fmtid="{D5CDD505-2E9C-101B-9397-08002B2CF9AE}" pid="3" name="MSIP_Label_0cf00cb3-7a5d-4674-b157-6d675423df49_SetDate">
    <vt:lpwstr>2026-05-07T17:47:33Z</vt:lpwstr>
  </property>
  <property fmtid="{D5CDD505-2E9C-101B-9397-08002B2CF9AE}" pid="4" name="MSIP_Label_0cf00cb3-7a5d-4674-b157-6d675423df49_Method">
    <vt:lpwstr>Standard</vt:lpwstr>
  </property>
  <property fmtid="{D5CDD505-2E9C-101B-9397-08002B2CF9AE}" pid="5" name="MSIP_Label_0cf00cb3-7a5d-4674-b157-6d675423df49_Name">
    <vt:lpwstr>Internal</vt:lpwstr>
  </property>
  <property fmtid="{D5CDD505-2E9C-101B-9397-08002B2CF9AE}" pid="6" name="MSIP_Label_0cf00cb3-7a5d-4674-b157-6d675423df49_SiteId">
    <vt:lpwstr>ece76e02-a02b-4c4a-906d-98a34c5ce07a</vt:lpwstr>
  </property>
  <property fmtid="{D5CDD505-2E9C-101B-9397-08002B2CF9AE}" pid="7" name="MSIP_Label_0cf00cb3-7a5d-4674-b157-6d675423df49_ActionId">
    <vt:lpwstr>5a32513b-2fa2-4bae-834f-533f466b8e0a</vt:lpwstr>
  </property>
  <property fmtid="{D5CDD505-2E9C-101B-9397-08002B2CF9AE}" pid="8" name="MSIP_Label_0cf00cb3-7a5d-4674-b157-6d675423df49_ContentBits">
    <vt:lpwstr>0</vt:lpwstr>
  </property>
  <property fmtid="{D5CDD505-2E9C-101B-9397-08002B2CF9AE}" pid="9" name="MSIP_Label_0cf00cb3-7a5d-4674-b157-6d675423df49_Tag">
    <vt:lpwstr>10, 3, 0, 1</vt:lpwstr>
  </property>
</Properties>
</file>